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pict>
          <v:group style="position:absolute;margin-left:555.796997pt;margin-top:41.456806pt;width:2.5pt;height:2.050pt;mso-position-horizontal-relative:page;mso-position-vertical-relative:paragraph;z-index:-15834112" coordorigin="11116,829" coordsize="50,41">
            <v:shape style="position:absolute;left:11125;top:839;width:30;height:10" coordorigin="11126,839" coordsize="30,10" path="m11126,839l11156,839,11156,849e" filled="false" stroked="true" strokeweight="1pt" strokecolor="#000000">
              <v:path arrowok="t"/>
              <v:stroke dashstyle="solid"/>
            </v:shape>
            <v:line style="position:absolute" from="11146,854" to="11166,854" stroked="true" strokeweight="1.51pt" strokecolor="#000000">
              <v:stroke dashstyle="solid"/>
            </v:line>
            <w10:wrap type="none"/>
          </v:group>
        </w:pict>
      </w:r>
      <w:r>
        <w:rPr>
          <w:color w:val="483D8B"/>
          <w:w w:val="75"/>
        </w:rPr>
        <w:t>ACTIVITÉ</w:t>
      </w:r>
      <w:r>
        <w:rPr>
          <w:color w:val="483D8B"/>
          <w:spacing w:val="15"/>
          <w:w w:val="75"/>
        </w:rPr>
        <w:t> </w:t>
      </w:r>
      <w:r>
        <w:rPr>
          <w:color w:val="483D8B"/>
          <w:w w:val="75"/>
        </w:rPr>
        <w:t>2.1</w:t>
      </w:r>
      <w:r>
        <w:rPr>
          <w:color w:val="483D8B"/>
          <w:spacing w:val="16"/>
          <w:w w:val="75"/>
        </w:rPr>
        <w:t> </w:t>
      </w:r>
      <w:r>
        <w:rPr>
          <w:color w:val="483D8B"/>
          <w:w w:val="75"/>
        </w:rPr>
        <w:t>:</w:t>
      </w:r>
      <w:r>
        <w:rPr>
          <w:color w:val="483D8B"/>
          <w:spacing w:val="16"/>
          <w:w w:val="75"/>
        </w:rPr>
        <w:t> </w:t>
      </w:r>
      <w:r>
        <w:rPr>
          <w:color w:val="483D8B"/>
          <w:w w:val="75"/>
        </w:rPr>
        <w:t>Jeu</w:t>
      </w:r>
      <w:r>
        <w:rPr>
          <w:color w:val="483D8B"/>
          <w:spacing w:val="16"/>
          <w:w w:val="75"/>
        </w:rPr>
        <w:t> </w:t>
      </w:r>
      <w:r>
        <w:rPr>
          <w:color w:val="483D8B"/>
          <w:w w:val="75"/>
        </w:rPr>
        <w:t>de</w:t>
      </w:r>
      <w:r>
        <w:rPr>
          <w:color w:val="483D8B"/>
          <w:spacing w:val="16"/>
          <w:w w:val="75"/>
        </w:rPr>
        <w:t> </w:t>
      </w:r>
      <w:r>
        <w:rPr>
          <w:color w:val="483D8B"/>
          <w:w w:val="75"/>
        </w:rPr>
        <w:t>triage</w:t>
      </w:r>
    </w:p>
    <w:p>
      <w:pPr>
        <w:pStyle w:val="BodyText"/>
        <w:rPr>
          <w:rFonts w:ascii="Tahoma"/>
          <w:sz w:val="20"/>
        </w:rPr>
      </w:pPr>
    </w:p>
    <w:p>
      <w:pPr>
        <w:pStyle w:val="BodyText"/>
        <w:spacing w:before="2"/>
        <w:rPr>
          <w:rFonts w:ascii="Tahoma"/>
        </w:rPr>
      </w:pPr>
    </w:p>
    <w:tbl>
      <w:tblPr>
        <w:tblW w:w="0" w:type="auto"/>
        <w:jc w:val="left"/>
        <w:tblInd w:w="130" w:type="dxa"/>
        <w:tblBorders>
          <w:top w:val="dashSmallGap" w:sz="8" w:space="0" w:color="000000"/>
          <w:left w:val="dashSmallGap" w:sz="8" w:space="0" w:color="000000"/>
          <w:bottom w:val="dashSmallGap" w:sz="8" w:space="0" w:color="000000"/>
          <w:right w:val="dashSmallGap" w:sz="8" w:space="0" w:color="000000"/>
          <w:insideH w:val="dashSmallGap" w:sz="8" w:space="0" w:color="000000"/>
          <w:insideV w:val="dashSmallGap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365"/>
        <w:gridCol w:w="3355"/>
        <w:gridCol w:w="3355"/>
      </w:tblGrid>
      <w:tr>
        <w:trPr>
          <w:trHeight w:val="1088" w:hRule="atLeast"/>
        </w:trPr>
        <w:tc>
          <w:tcPr>
            <w:tcW w:w="3365" w:type="dxa"/>
          </w:tcPr>
          <w:p>
            <w:pPr>
              <w:pStyle w:val="TableParagraph"/>
              <w:spacing w:line="50" w:lineRule="exact"/>
              <w:rPr>
                <w:rFonts w:ascii="Tahoma"/>
                <w:sz w:val="5"/>
              </w:rPr>
            </w:pPr>
            <w:r>
              <w:rPr>
                <w:rFonts w:ascii="Tahoma"/>
                <w:position w:val="0"/>
                <w:sz w:val="5"/>
              </w:rPr>
              <w:pict>
                <v:group style="width:2.5pt;height:2.550pt;mso-position-horizontal-relative:char;mso-position-vertical-relative:line" coordorigin="0,0" coordsize="50,51">
                  <v:shape style="position:absolute;left:10;top:10;width:30;height:31" coordorigin="10,10" coordsize="30,31" path="m10,40l10,10,40,10e" filled="false" stroked="true" strokeweight="1pt" strokecolor="#000000">
                    <v:path arrowok="t"/>
                    <v:stroke dashstyle="solid"/>
                  </v:shape>
                </v:group>
              </w:pict>
            </w:r>
            <w:r>
              <w:rPr>
                <w:rFonts w:ascii="Tahoma"/>
                <w:position w:val="0"/>
                <w:sz w:val="5"/>
              </w:rPr>
            </w:r>
          </w:p>
          <w:p>
            <w:pPr>
              <w:pStyle w:val="TableParagraph"/>
              <w:spacing w:before="10"/>
              <w:rPr>
                <w:rFonts w:ascii="Tahoma"/>
                <w:b/>
                <w:sz w:val="26"/>
              </w:rPr>
            </w:pPr>
          </w:p>
          <w:p>
            <w:pPr>
              <w:pStyle w:val="TableParagraph"/>
              <w:spacing w:before="1"/>
              <w:ind w:left="517" w:right="487"/>
              <w:jc w:val="center"/>
              <w:rPr>
                <w:b/>
                <w:sz w:val="28"/>
              </w:rPr>
            </w:pPr>
            <w:r>
              <w:rPr>
                <w:b/>
                <w:w w:val="115"/>
                <w:sz w:val="28"/>
              </w:rPr>
              <w:t>FÉDÉRAL</w:t>
            </w:r>
          </w:p>
        </w:tc>
        <w:tc>
          <w:tcPr>
            <w:tcW w:w="3355" w:type="dxa"/>
          </w:tcPr>
          <w:p>
            <w:pPr>
              <w:pStyle w:val="TableParagraph"/>
              <w:rPr>
                <w:rFonts w:ascii="Tahoma"/>
                <w:b/>
                <w:sz w:val="31"/>
              </w:rPr>
            </w:pPr>
          </w:p>
          <w:p>
            <w:pPr>
              <w:pStyle w:val="TableParagraph"/>
              <w:ind w:left="371" w:right="351"/>
              <w:jc w:val="center"/>
              <w:rPr>
                <w:b/>
                <w:sz w:val="28"/>
              </w:rPr>
            </w:pPr>
            <w:r>
              <w:rPr>
                <w:b/>
                <w:w w:val="105"/>
                <w:sz w:val="28"/>
              </w:rPr>
              <w:t>PROVINCIAL</w:t>
            </w:r>
          </w:p>
        </w:tc>
        <w:tc>
          <w:tcPr>
            <w:tcW w:w="3355" w:type="dxa"/>
            <w:tcBorders>
              <w:right w:val="nil"/>
            </w:tcBorders>
          </w:tcPr>
          <w:p>
            <w:pPr>
              <w:pStyle w:val="TableParagraph"/>
              <w:rPr>
                <w:rFonts w:ascii="Tahoma"/>
                <w:b/>
                <w:sz w:val="31"/>
              </w:rPr>
            </w:pPr>
          </w:p>
          <w:p>
            <w:pPr>
              <w:pStyle w:val="TableParagraph"/>
              <w:ind w:left="501" w:right="491"/>
              <w:jc w:val="center"/>
              <w:rPr>
                <w:b/>
                <w:sz w:val="28"/>
              </w:rPr>
            </w:pPr>
            <w:r>
              <w:rPr>
                <w:b/>
                <w:w w:val="105"/>
                <w:sz w:val="28"/>
              </w:rPr>
              <w:t>MUNICIPAL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1088" w:hRule="atLeast"/>
        </w:trPr>
        <w:tc>
          <w:tcPr>
            <w:tcW w:w="3365" w:type="dxa"/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517" w:right="48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Éducation</w:t>
            </w:r>
          </w:p>
        </w:tc>
        <w:tc>
          <w:tcPr>
            <w:tcW w:w="3355" w:type="dxa"/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371" w:right="351"/>
              <w:jc w:val="center"/>
              <w:rPr>
                <w:b/>
                <w:sz w:val="22"/>
              </w:rPr>
            </w:pPr>
            <w:r>
              <w:rPr>
                <w:b/>
                <w:w w:val="95"/>
                <w:sz w:val="22"/>
              </w:rPr>
              <w:t>Député.e</w:t>
            </w:r>
            <w:r>
              <w:rPr>
                <w:b/>
                <w:spacing w:val="4"/>
                <w:w w:val="95"/>
                <w:sz w:val="22"/>
              </w:rPr>
              <w:t> </w:t>
            </w:r>
            <w:r>
              <w:rPr>
                <w:b/>
                <w:w w:val="95"/>
                <w:sz w:val="22"/>
              </w:rPr>
              <w:t>fédéral.e</w:t>
            </w:r>
          </w:p>
        </w:tc>
        <w:tc>
          <w:tcPr>
            <w:tcW w:w="3355" w:type="dxa"/>
            <w:tcBorders>
              <w:right w:val="nil"/>
            </w:tcBorders>
          </w:tcPr>
          <w:p>
            <w:pPr>
              <w:pStyle w:val="TableParagraph"/>
              <w:spacing w:before="5"/>
              <w:rPr>
                <w:rFonts w:ascii="Tahoma"/>
                <w:b/>
                <w:sz w:val="22"/>
              </w:rPr>
            </w:pPr>
          </w:p>
          <w:p>
            <w:pPr>
              <w:pStyle w:val="TableParagraph"/>
              <w:spacing w:line="249" w:lineRule="auto"/>
              <w:ind w:left="996" w:right="501" w:hanging="331"/>
              <w:rPr>
                <w:b/>
                <w:sz w:val="22"/>
              </w:rPr>
            </w:pPr>
            <w:r>
              <w:rPr>
                <w:b/>
                <w:sz w:val="22"/>
              </w:rPr>
              <w:t>Affaires étrangères</w:t>
            </w:r>
            <w:r>
              <w:rPr>
                <w:b/>
                <w:spacing w:val="-58"/>
                <w:sz w:val="22"/>
              </w:rPr>
              <w:t> </w:t>
            </w:r>
            <w:r>
              <w:rPr>
                <w:b/>
                <w:w w:val="95"/>
                <w:sz w:val="22"/>
              </w:rPr>
              <w:t>et</w:t>
            </w:r>
            <w:r>
              <w:rPr>
                <w:b/>
                <w:spacing w:val="-9"/>
                <w:w w:val="95"/>
                <w:sz w:val="22"/>
              </w:rPr>
              <w:t> </w:t>
            </w:r>
            <w:r>
              <w:rPr>
                <w:b/>
                <w:w w:val="95"/>
                <w:sz w:val="22"/>
              </w:rPr>
              <w:t>commerce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1088" w:hRule="atLeast"/>
        </w:trPr>
        <w:tc>
          <w:tcPr>
            <w:tcW w:w="3365" w:type="dxa"/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517" w:right="48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Notre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ville</w:t>
            </w:r>
          </w:p>
        </w:tc>
        <w:tc>
          <w:tcPr>
            <w:tcW w:w="3355" w:type="dxa"/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371" w:right="351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Édifices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du Parlement</w:t>
            </w:r>
          </w:p>
        </w:tc>
        <w:tc>
          <w:tcPr>
            <w:tcW w:w="3355" w:type="dxa"/>
            <w:tcBorders>
              <w:right w:val="nil"/>
            </w:tcBorders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501" w:right="491"/>
              <w:jc w:val="center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Maire.sse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1088" w:hRule="atLeast"/>
        </w:trPr>
        <w:tc>
          <w:tcPr>
            <w:tcW w:w="3365" w:type="dxa"/>
          </w:tcPr>
          <w:p>
            <w:pPr>
              <w:pStyle w:val="TableParagraph"/>
              <w:spacing w:before="5"/>
              <w:rPr>
                <w:rFonts w:ascii="Tahoma"/>
                <w:b/>
                <w:sz w:val="22"/>
              </w:rPr>
            </w:pPr>
          </w:p>
          <w:p>
            <w:pPr>
              <w:pStyle w:val="TableParagraph"/>
              <w:spacing w:line="249" w:lineRule="auto"/>
              <w:ind w:left="1124" w:right="372" w:hanging="507"/>
              <w:rPr>
                <w:b/>
                <w:sz w:val="22"/>
              </w:rPr>
            </w:pPr>
            <w:r>
              <w:rPr>
                <w:b/>
                <w:sz w:val="22"/>
              </w:rPr>
              <w:t>Premier.ère</w:t>
            </w:r>
            <w:r>
              <w:rPr>
                <w:b/>
                <w:spacing w:val="14"/>
                <w:sz w:val="22"/>
              </w:rPr>
              <w:t> </w:t>
            </w:r>
            <w:r>
              <w:rPr>
                <w:b/>
                <w:sz w:val="22"/>
              </w:rPr>
              <w:t>ministre</w:t>
            </w:r>
            <w:r>
              <w:rPr>
                <w:b/>
                <w:spacing w:val="-58"/>
                <w:sz w:val="22"/>
              </w:rPr>
              <w:t> </w:t>
            </w:r>
            <w:r>
              <w:rPr>
                <w:b/>
                <w:w w:val="95"/>
                <w:sz w:val="22"/>
              </w:rPr>
              <w:t>du</w:t>
            </w:r>
            <w:r>
              <w:rPr>
                <w:b/>
                <w:spacing w:val="-10"/>
                <w:w w:val="95"/>
                <w:sz w:val="22"/>
              </w:rPr>
              <w:t> </w:t>
            </w:r>
            <w:r>
              <w:rPr>
                <w:b/>
                <w:w w:val="95"/>
                <w:sz w:val="22"/>
              </w:rPr>
              <w:t>Canada</w:t>
            </w:r>
          </w:p>
        </w:tc>
        <w:tc>
          <w:tcPr>
            <w:tcW w:w="3355" w:type="dxa"/>
          </w:tcPr>
          <w:p>
            <w:pPr>
              <w:pStyle w:val="TableParagraph"/>
              <w:spacing w:before="5"/>
              <w:rPr>
                <w:rFonts w:ascii="Tahoma"/>
                <w:b/>
                <w:sz w:val="22"/>
              </w:rPr>
            </w:pPr>
          </w:p>
          <w:p>
            <w:pPr>
              <w:pStyle w:val="TableParagraph"/>
              <w:spacing w:line="249" w:lineRule="auto"/>
              <w:ind w:left="1065" w:right="793" w:hanging="74"/>
              <w:rPr>
                <w:b/>
                <w:sz w:val="22"/>
              </w:rPr>
            </w:pPr>
            <w:r>
              <w:rPr>
                <w:b/>
                <w:w w:val="95"/>
                <w:sz w:val="22"/>
              </w:rPr>
              <w:t>Commissaire</w:t>
            </w:r>
            <w:r>
              <w:rPr>
                <w:b/>
                <w:spacing w:val="1"/>
                <w:w w:val="95"/>
                <w:sz w:val="22"/>
              </w:rPr>
              <w:t> </w:t>
            </w:r>
            <w:r>
              <w:rPr>
                <w:b/>
                <w:sz w:val="22"/>
              </w:rPr>
              <w:t>provincial.e</w:t>
            </w:r>
          </w:p>
        </w:tc>
        <w:tc>
          <w:tcPr>
            <w:tcW w:w="3355" w:type="dxa"/>
            <w:tcBorders>
              <w:right w:val="nil"/>
            </w:tcBorders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502" w:right="491"/>
              <w:jc w:val="center"/>
              <w:rPr>
                <w:b/>
                <w:sz w:val="22"/>
              </w:rPr>
            </w:pPr>
            <w:r>
              <w:rPr>
                <w:b/>
                <w:w w:val="95"/>
                <w:sz w:val="22"/>
              </w:rPr>
              <w:t>Défense</w:t>
            </w:r>
            <w:r>
              <w:rPr>
                <w:b/>
                <w:spacing w:val="19"/>
                <w:w w:val="95"/>
                <w:sz w:val="22"/>
              </w:rPr>
              <w:t> </w:t>
            </w:r>
            <w:r>
              <w:rPr>
                <w:b/>
                <w:w w:val="95"/>
                <w:sz w:val="22"/>
              </w:rPr>
              <w:t>nationale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1088" w:hRule="atLeast"/>
        </w:trPr>
        <w:tc>
          <w:tcPr>
            <w:tcW w:w="3365" w:type="dxa"/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517" w:right="487"/>
              <w:jc w:val="center"/>
              <w:rPr>
                <w:b/>
                <w:sz w:val="22"/>
              </w:rPr>
            </w:pPr>
            <w:r>
              <w:rPr>
                <w:b/>
                <w:w w:val="95"/>
                <w:sz w:val="22"/>
              </w:rPr>
              <w:t>Député.e</w:t>
            </w:r>
            <w:r>
              <w:rPr>
                <w:b/>
                <w:spacing w:val="8"/>
                <w:w w:val="95"/>
                <w:sz w:val="22"/>
              </w:rPr>
              <w:t> </w:t>
            </w:r>
            <w:r>
              <w:rPr>
                <w:b/>
                <w:w w:val="95"/>
                <w:sz w:val="22"/>
              </w:rPr>
              <w:t>provincial.e</w:t>
            </w:r>
          </w:p>
        </w:tc>
        <w:tc>
          <w:tcPr>
            <w:tcW w:w="3355" w:type="dxa"/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371" w:right="351"/>
              <w:jc w:val="center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Montreal</w:t>
            </w:r>
          </w:p>
        </w:tc>
        <w:tc>
          <w:tcPr>
            <w:tcW w:w="3355" w:type="dxa"/>
            <w:tcBorders>
              <w:right w:val="nil"/>
            </w:tcBorders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502" w:right="491"/>
              <w:jc w:val="center"/>
              <w:rPr>
                <w:b/>
                <w:sz w:val="22"/>
              </w:rPr>
            </w:pPr>
            <w:r>
              <w:rPr>
                <w:b/>
                <w:w w:val="95"/>
                <w:sz w:val="22"/>
              </w:rPr>
              <w:t>Contrôle</w:t>
            </w:r>
            <w:r>
              <w:rPr>
                <w:b/>
                <w:spacing w:val="16"/>
                <w:w w:val="95"/>
                <w:sz w:val="22"/>
              </w:rPr>
              <w:t> </w:t>
            </w:r>
            <w:r>
              <w:rPr>
                <w:b/>
                <w:w w:val="95"/>
                <w:sz w:val="22"/>
              </w:rPr>
              <w:t>animal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1088" w:hRule="atLeast"/>
        </w:trPr>
        <w:tc>
          <w:tcPr>
            <w:tcW w:w="3365" w:type="dxa"/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517" w:right="487"/>
              <w:jc w:val="center"/>
              <w:rPr>
                <w:b/>
                <w:sz w:val="22"/>
              </w:rPr>
            </w:pPr>
            <w:r>
              <w:rPr>
                <w:b/>
                <w:spacing w:val="-1"/>
                <w:sz w:val="22"/>
              </w:rPr>
              <w:t>Queen's</w:t>
            </w:r>
            <w:r>
              <w:rPr>
                <w:b/>
                <w:spacing w:val="-15"/>
                <w:sz w:val="22"/>
              </w:rPr>
              <w:t> </w:t>
            </w:r>
            <w:r>
              <w:rPr>
                <w:b/>
                <w:spacing w:val="-1"/>
                <w:sz w:val="22"/>
              </w:rPr>
              <w:t>Park</w:t>
            </w:r>
          </w:p>
        </w:tc>
        <w:tc>
          <w:tcPr>
            <w:tcW w:w="3355" w:type="dxa"/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371" w:right="351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Collèges</w:t>
            </w:r>
            <w:r>
              <w:rPr>
                <w:b/>
                <w:spacing w:val="-9"/>
                <w:sz w:val="22"/>
              </w:rPr>
              <w:t> </w:t>
            </w:r>
            <w:r>
              <w:rPr>
                <w:b/>
                <w:sz w:val="22"/>
              </w:rPr>
              <w:t>et</w:t>
            </w:r>
            <w:r>
              <w:rPr>
                <w:b/>
                <w:spacing w:val="-9"/>
                <w:sz w:val="22"/>
              </w:rPr>
              <w:t> </w:t>
            </w:r>
            <w:r>
              <w:rPr>
                <w:b/>
                <w:sz w:val="22"/>
              </w:rPr>
              <w:t>universités</w:t>
            </w:r>
          </w:p>
        </w:tc>
        <w:tc>
          <w:tcPr>
            <w:tcW w:w="3355" w:type="dxa"/>
            <w:tcBorders>
              <w:right w:val="nil"/>
            </w:tcBorders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501" w:right="491"/>
              <w:jc w:val="center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Autoroutes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1088" w:hRule="atLeast"/>
        </w:trPr>
        <w:tc>
          <w:tcPr>
            <w:tcW w:w="3365" w:type="dxa"/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517" w:right="48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Langues</w:t>
            </w:r>
            <w:r>
              <w:rPr>
                <w:b/>
                <w:spacing w:val="5"/>
                <w:sz w:val="22"/>
              </w:rPr>
              <w:t> </w:t>
            </w:r>
            <w:r>
              <w:rPr>
                <w:b/>
                <w:sz w:val="22"/>
              </w:rPr>
              <w:t>officielles</w:t>
            </w:r>
          </w:p>
        </w:tc>
        <w:tc>
          <w:tcPr>
            <w:tcW w:w="3355" w:type="dxa"/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371" w:right="351"/>
              <w:jc w:val="center"/>
              <w:rPr>
                <w:b/>
                <w:sz w:val="22"/>
              </w:rPr>
            </w:pPr>
            <w:r>
              <w:rPr>
                <w:b/>
                <w:w w:val="95"/>
                <w:sz w:val="22"/>
              </w:rPr>
              <w:t>Chambre</w:t>
            </w:r>
            <w:r>
              <w:rPr>
                <w:b/>
                <w:spacing w:val="-4"/>
                <w:w w:val="95"/>
                <w:sz w:val="22"/>
              </w:rPr>
              <w:t> </w:t>
            </w:r>
            <w:r>
              <w:rPr>
                <w:b/>
                <w:w w:val="95"/>
                <w:sz w:val="22"/>
              </w:rPr>
              <w:t>des</w:t>
            </w:r>
            <w:r>
              <w:rPr>
                <w:b/>
                <w:spacing w:val="-3"/>
                <w:w w:val="95"/>
                <w:sz w:val="22"/>
              </w:rPr>
              <w:t> </w:t>
            </w:r>
            <w:r>
              <w:rPr>
                <w:b/>
                <w:w w:val="95"/>
                <w:sz w:val="22"/>
              </w:rPr>
              <w:t>communes</w:t>
            </w:r>
          </w:p>
        </w:tc>
        <w:tc>
          <w:tcPr>
            <w:tcW w:w="3355" w:type="dxa"/>
            <w:tcBorders>
              <w:right w:val="nil"/>
            </w:tcBorders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498" w:right="491"/>
              <w:jc w:val="center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Ottawa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1088" w:hRule="atLeast"/>
        </w:trPr>
        <w:tc>
          <w:tcPr>
            <w:tcW w:w="3365" w:type="dxa"/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517" w:right="487"/>
              <w:jc w:val="center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Brampton</w:t>
            </w:r>
          </w:p>
        </w:tc>
        <w:tc>
          <w:tcPr>
            <w:tcW w:w="3355" w:type="dxa"/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371" w:right="351"/>
              <w:jc w:val="center"/>
              <w:rPr>
                <w:b/>
                <w:sz w:val="22"/>
              </w:rPr>
            </w:pPr>
            <w:r>
              <w:rPr>
                <w:b/>
                <w:w w:val="95"/>
                <w:sz w:val="22"/>
              </w:rPr>
              <w:t>Parcs</w:t>
            </w:r>
            <w:r>
              <w:rPr>
                <w:b/>
                <w:spacing w:val="10"/>
                <w:w w:val="95"/>
                <w:sz w:val="22"/>
              </w:rPr>
              <w:t> </w:t>
            </w:r>
            <w:r>
              <w:rPr>
                <w:b/>
                <w:w w:val="95"/>
                <w:sz w:val="22"/>
              </w:rPr>
              <w:t>locaux</w:t>
            </w:r>
          </w:p>
        </w:tc>
        <w:tc>
          <w:tcPr>
            <w:tcW w:w="3355" w:type="dxa"/>
            <w:tcBorders>
              <w:right w:val="nil"/>
            </w:tcBorders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501" w:right="491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Hôpitaux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1088" w:hRule="atLeast"/>
        </w:trPr>
        <w:tc>
          <w:tcPr>
            <w:tcW w:w="3365" w:type="dxa"/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517" w:right="48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Transport</w:t>
            </w:r>
            <w:r>
              <w:rPr>
                <w:b/>
                <w:spacing w:val="-11"/>
                <w:sz w:val="22"/>
              </w:rPr>
              <w:t> </w:t>
            </w:r>
            <w:r>
              <w:rPr>
                <w:b/>
                <w:sz w:val="22"/>
              </w:rPr>
              <w:t>en</w:t>
            </w:r>
            <w:r>
              <w:rPr>
                <w:b/>
                <w:spacing w:val="-11"/>
                <w:sz w:val="22"/>
              </w:rPr>
              <w:t> </w:t>
            </w:r>
            <w:r>
              <w:rPr>
                <w:b/>
                <w:sz w:val="22"/>
              </w:rPr>
              <w:t>commun</w:t>
            </w:r>
          </w:p>
        </w:tc>
        <w:tc>
          <w:tcPr>
            <w:tcW w:w="3355" w:type="dxa"/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369" w:right="351"/>
              <w:jc w:val="center"/>
              <w:rPr>
                <w:b/>
                <w:sz w:val="22"/>
              </w:rPr>
            </w:pPr>
            <w:r>
              <w:rPr>
                <w:b/>
                <w:w w:val="110"/>
                <w:sz w:val="22"/>
              </w:rPr>
              <w:t>Toronto</w:t>
            </w:r>
          </w:p>
        </w:tc>
        <w:tc>
          <w:tcPr>
            <w:tcW w:w="3355" w:type="dxa"/>
            <w:tcBorders>
              <w:right w:val="nil"/>
            </w:tcBorders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502" w:right="491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Hôtel</w:t>
            </w:r>
            <w:r>
              <w:rPr>
                <w:b/>
                <w:spacing w:val="-8"/>
                <w:sz w:val="22"/>
              </w:rPr>
              <w:t> </w:t>
            </w:r>
            <w:r>
              <w:rPr>
                <w:b/>
                <w:sz w:val="22"/>
              </w:rPr>
              <w:t>de</w:t>
            </w:r>
            <w:r>
              <w:rPr>
                <w:b/>
                <w:spacing w:val="-8"/>
                <w:sz w:val="22"/>
              </w:rPr>
              <w:t> </w:t>
            </w:r>
            <w:r>
              <w:rPr>
                <w:b/>
                <w:sz w:val="22"/>
              </w:rPr>
              <w:t>ville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1088" w:hRule="atLeast"/>
        </w:trPr>
        <w:tc>
          <w:tcPr>
            <w:tcW w:w="3365" w:type="dxa"/>
          </w:tcPr>
          <w:p>
            <w:pPr>
              <w:pStyle w:val="TableParagraph"/>
              <w:spacing w:before="5"/>
              <w:rPr>
                <w:rFonts w:ascii="Tahoma"/>
                <w:b/>
                <w:sz w:val="22"/>
              </w:rPr>
            </w:pPr>
          </w:p>
          <w:p>
            <w:pPr>
              <w:pStyle w:val="TableParagraph"/>
              <w:spacing w:line="249" w:lineRule="auto"/>
              <w:ind w:left="1033" w:right="372" w:hanging="136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Terres</w:t>
            </w:r>
            <w:r>
              <w:rPr>
                <w:b/>
                <w:spacing w:val="-14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et</w:t>
            </w:r>
            <w:r>
              <w:rPr>
                <w:b/>
                <w:spacing w:val="-13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droits</w:t>
            </w:r>
            <w:r>
              <w:rPr>
                <w:b/>
                <w:spacing w:val="-61"/>
                <w:w w:val="105"/>
                <w:sz w:val="22"/>
              </w:rPr>
              <w:t> </w:t>
            </w:r>
            <w:r>
              <w:rPr>
                <w:b/>
                <w:spacing w:val="-1"/>
                <w:w w:val="105"/>
                <w:sz w:val="22"/>
              </w:rPr>
              <w:t>autochtones</w:t>
            </w:r>
          </w:p>
        </w:tc>
        <w:tc>
          <w:tcPr>
            <w:tcW w:w="3355" w:type="dxa"/>
          </w:tcPr>
          <w:p>
            <w:pPr>
              <w:pStyle w:val="TableParagraph"/>
              <w:spacing w:before="5"/>
              <w:rPr>
                <w:rFonts w:ascii="Tahoma"/>
                <w:b/>
                <w:sz w:val="22"/>
              </w:rPr>
            </w:pPr>
          </w:p>
          <w:p>
            <w:pPr>
              <w:pStyle w:val="TableParagraph"/>
              <w:spacing w:line="249" w:lineRule="auto"/>
              <w:ind w:left="963" w:right="793" w:firstLine="81"/>
              <w:rPr>
                <w:b/>
                <w:sz w:val="22"/>
              </w:rPr>
            </w:pPr>
            <w:r>
              <w:rPr>
                <w:b/>
                <w:sz w:val="22"/>
              </w:rPr>
              <w:t>Citoyenneté</w:t>
            </w:r>
            <w:r>
              <w:rPr>
                <w:b/>
                <w:spacing w:val="-59"/>
                <w:sz w:val="22"/>
              </w:rPr>
              <w:t> </w:t>
            </w:r>
            <w:r>
              <w:rPr>
                <w:b/>
                <w:sz w:val="22"/>
              </w:rPr>
              <w:t>et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passeports</w:t>
            </w:r>
          </w:p>
        </w:tc>
        <w:tc>
          <w:tcPr>
            <w:tcW w:w="3355" w:type="dxa"/>
            <w:tcBorders>
              <w:right w:val="nil"/>
            </w:tcBorders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502" w:right="491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Ressources</w:t>
            </w:r>
            <w:r>
              <w:rPr>
                <w:b/>
                <w:spacing w:val="7"/>
                <w:sz w:val="22"/>
              </w:rPr>
              <w:t> </w:t>
            </w:r>
            <w:r>
              <w:rPr>
                <w:b/>
                <w:sz w:val="22"/>
              </w:rPr>
              <w:t>naturelles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1088" w:hRule="atLeast"/>
        </w:trPr>
        <w:tc>
          <w:tcPr>
            <w:tcW w:w="3365" w:type="dxa"/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517" w:right="48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Services</w:t>
            </w:r>
            <w:r>
              <w:rPr>
                <w:b/>
                <w:spacing w:val="-12"/>
                <w:sz w:val="22"/>
              </w:rPr>
              <w:t> </w:t>
            </w:r>
            <w:r>
              <w:rPr>
                <w:b/>
                <w:sz w:val="22"/>
              </w:rPr>
              <w:t>sociaux</w:t>
            </w:r>
          </w:p>
        </w:tc>
        <w:tc>
          <w:tcPr>
            <w:tcW w:w="3355" w:type="dxa"/>
          </w:tcPr>
          <w:p>
            <w:pPr>
              <w:pStyle w:val="TableParagraph"/>
              <w:spacing w:before="5"/>
              <w:rPr>
                <w:rFonts w:ascii="Tahoma"/>
                <w:b/>
                <w:sz w:val="22"/>
              </w:rPr>
            </w:pPr>
          </w:p>
          <w:p>
            <w:pPr>
              <w:pStyle w:val="TableParagraph"/>
              <w:spacing w:line="249" w:lineRule="auto"/>
              <w:ind w:left="1170" w:right="554" w:hanging="587"/>
              <w:rPr>
                <w:b/>
                <w:sz w:val="22"/>
              </w:rPr>
            </w:pPr>
            <w:r>
              <w:rPr>
                <w:b/>
                <w:sz w:val="22"/>
              </w:rPr>
              <w:t>Protection contre les</w:t>
            </w:r>
            <w:r>
              <w:rPr>
                <w:b/>
                <w:spacing w:val="-59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incendies</w:t>
            </w:r>
          </w:p>
        </w:tc>
        <w:tc>
          <w:tcPr>
            <w:tcW w:w="3355" w:type="dxa"/>
            <w:tcBorders>
              <w:right w:val="nil"/>
            </w:tcBorders>
          </w:tcPr>
          <w:p>
            <w:pPr>
              <w:pStyle w:val="TableParagraph"/>
              <w:rPr>
                <w:rFonts w:ascii="Tahoma"/>
                <w:b/>
                <w:sz w:val="34"/>
              </w:rPr>
            </w:pPr>
          </w:p>
          <w:p>
            <w:pPr>
              <w:pStyle w:val="TableParagraph"/>
              <w:ind w:left="502" w:right="491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Entretien</w:t>
            </w:r>
            <w:r>
              <w:rPr>
                <w:b/>
                <w:spacing w:val="8"/>
                <w:sz w:val="22"/>
              </w:rPr>
              <w:t> </w:t>
            </w:r>
            <w:r>
              <w:rPr>
                <w:b/>
                <w:sz w:val="22"/>
              </w:rPr>
              <w:t>des</w:t>
            </w:r>
            <w:r>
              <w:rPr>
                <w:b/>
                <w:spacing w:val="9"/>
                <w:sz w:val="22"/>
              </w:rPr>
              <w:t> </w:t>
            </w:r>
            <w:r>
              <w:rPr>
                <w:b/>
                <w:sz w:val="22"/>
              </w:rPr>
              <w:t>routes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pStyle w:val="BodyText"/>
        <w:rPr>
          <w:rFonts w:ascii="Tahoma"/>
          <w:sz w:val="20"/>
        </w:rPr>
      </w:pPr>
    </w:p>
    <w:p>
      <w:pPr>
        <w:pStyle w:val="BodyText"/>
        <w:spacing w:before="11"/>
        <w:rPr>
          <w:rFonts w:ascii="Tahoma"/>
          <w:sz w:val="10"/>
        </w:rPr>
      </w:pPr>
      <w:r>
        <w:rPr/>
        <w:pict>
          <v:shape style="position:absolute;margin-left:54pt;margin-top:8.774788pt;width:504pt;height:.1pt;mso-position-horizontal-relative:page;mso-position-vertical-relative:paragraph;z-index:-15728128;mso-wrap-distance-left:0;mso-wrap-distance-right:0" coordorigin="1080,175" coordsize="10080,0" path="m1080,175l11160,175e" filled="false" stroked="true" strokeweight=".3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6"/>
        <w:rPr>
          <w:rFonts w:ascii="Tahoma"/>
          <w:sz w:val="6"/>
        </w:rPr>
      </w:pPr>
    </w:p>
    <w:p>
      <w:pPr>
        <w:pStyle w:val="BodyText"/>
        <w:spacing w:before="96"/>
        <w:ind w:left="5591"/>
      </w:pPr>
      <w:r>
        <w:rPr/>
        <w:pict>
          <v:group style="position:absolute;margin-left:54pt;margin-top:-28.938984pt;width:2pt;height:2.550pt;mso-position-horizontal-relative:page;mso-position-vertical-relative:paragraph;z-index:-15835136" coordorigin="1080,-579" coordsize="40,51">
            <v:shape style="position:absolute;left:1090;top:-569;width:10;height:31" coordorigin="1090,-569" coordsize="10,31" path="m1100,-539l1090,-539,1090,-569e" filled="false" stroked="true" strokeweight="1pt" strokecolor="#000000">
              <v:path arrowok="t"/>
              <v:stroke dashstyle="solid"/>
            </v:shape>
            <v:line style="position:absolute" from="1090,-539" to="1120,-539" stroked="true" strokeweight="1pt" strokecolor="#000000">
              <v:stroke dashstyle="solid"/>
            </v:line>
            <w10:wrap type="none"/>
          </v:group>
        </w:pict>
      </w:r>
      <w:r>
        <w:rPr/>
        <w:pict>
          <v:group style="position:absolute;margin-left:555.796997pt;margin-top:-28.438984pt;width:2.5pt;height:2.050pt;mso-position-horizontal-relative:page;mso-position-vertical-relative:paragraph;z-index:-15834624" coordorigin="11116,-569" coordsize="50,41">
            <v:line style="position:absolute" from="11146,-554" to="11166,-554" stroked="true" strokeweight="1.51pt" strokecolor="#000000">
              <v:stroke dashstyle="solid"/>
            </v:line>
            <v:shape style="position:absolute;left:11125;top:-549;width:30;height:10" coordorigin="11126,-549" coordsize="30,10" path="m11126,-539l11156,-539,11156,-549e" filled="false" stroked="true" strokeweight="1pt" strokecolor="#000000">
              <v:path arrowok="t"/>
              <v:stroke dashstyle="solid"/>
            </v:shape>
            <w10:wrap type="none"/>
          </v:group>
        </w:pict>
      </w:r>
      <w:r>
        <w:rPr>
          <w:spacing w:val="-1"/>
        </w:rPr>
        <w:t>Élections</w:t>
      </w:r>
      <w:r>
        <w:rPr>
          <w:spacing w:val="-9"/>
        </w:rPr>
        <w:t> </w:t>
      </w:r>
      <w:r>
        <w:rPr>
          <w:spacing w:val="-1"/>
        </w:rPr>
        <w:t>provinciales</w:t>
      </w:r>
      <w:r>
        <w:rPr>
          <w:spacing w:val="-8"/>
        </w:rPr>
        <w:t> </w:t>
      </w:r>
      <w:r>
        <w:rPr>
          <w:spacing w:val="-1"/>
        </w:rPr>
        <w:t>en</w:t>
      </w:r>
      <w:r>
        <w:rPr>
          <w:spacing w:val="-8"/>
        </w:rPr>
        <w:t> </w:t>
      </w:r>
      <w:r>
        <w:rPr>
          <w:spacing w:val="-1"/>
        </w:rPr>
        <w:t>Ontario</w:t>
      </w:r>
      <w:r>
        <w:rPr>
          <w:spacing w:val="-8"/>
        </w:rPr>
        <w:t> </w:t>
      </w:r>
      <w:r>
        <w:rPr>
          <w:spacing w:val="-1"/>
        </w:rPr>
        <w:t>-</w:t>
      </w:r>
      <w:r>
        <w:rPr>
          <w:spacing w:val="-8"/>
        </w:rPr>
        <w:t> </w:t>
      </w:r>
      <w:r>
        <w:rPr>
          <w:spacing w:val="-1"/>
        </w:rPr>
        <w:t>Ressources</w:t>
      </w:r>
      <w:r>
        <w:rPr>
          <w:spacing w:val="-8"/>
        </w:rPr>
        <w:t> </w:t>
      </w:r>
      <w:r>
        <w:rPr/>
        <w:t>niveau</w:t>
      </w:r>
      <w:r>
        <w:rPr>
          <w:spacing w:val="-8"/>
        </w:rPr>
        <w:t> </w:t>
      </w:r>
      <w:r>
        <w:rPr/>
        <w:t>élémentaire</w:t>
      </w:r>
      <w:r>
        <w:rPr>
          <w:spacing w:val="28"/>
        </w:rPr>
        <w:t> </w:t>
      </w:r>
      <w:r>
        <w:rPr/>
        <w:t>21</w:t>
      </w:r>
    </w:p>
    <w:sectPr>
      <w:type w:val="continuous"/>
      <w:pgSz w:w="12240" w:h="15840"/>
      <w:pgMar w:top="940" w:bottom="280" w:left="960" w:right="9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entury Gothic">
    <w:altName w:val="Century Gothic"/>
    <w:charset w:val="0"/>
    <w:family w:val="swiss"/>
    <w:pitch w:val="variable"/>
  </w:font>
  <w:font w:name="Tahoma">
    <w:altName w:val="Tahoma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entury Gothic" w:hAnsi="Century Gothic" w:eastAsia="Century Gothic" w:cs="Century Gothic"/>
      <w:lang w:val="fr-FR" w:eastAsia="en-US" w:bidi="ar-SA"/>
    </w:rPr>
  </w:style>
  <w:style w:styleId="BodyText" w:type="paragraph">
    <w:name w:val="Body Text"/>
    <w:basedOn w:val="Normal"/>
    <w:uiPriority w:val="1"/>
    <w:qFormat/>
    <w:pPr/>
    <w:rPr>
      <w:rFonts w:ascii="Century Gothic" w:hAnsi="Century Gothic" w:eastAsia="Century Gothic" w:cs="Century Gothic"/>
      <w:b/>
      <w:bCs/>
      <w:sz w:val="14"/>
      <w:szCs w:val="14"/>
      <w:lang w:val="fr-FR" w:eastAsia="en-US" w:bidi="ar-SA"/>
    </w:rPr>
  </w:style>
  <w:style w:styleId="Title" w:type="paragraph">
    <w:name w:val="Title"/>
    <w:basedOn w:val="Normal"/>
    <w:uiPriority w:val="1"/>
    <w:qFormat/>
    <w:pPr>
      <w:spacing w:before="79"/>
      <w:ind w:left="120"/>
    </w:pPr>
    <w:rPr>
      <w:rFonts w:ascii="Tahoma" w:hAnsi="Tahoma" w:eastAsia="Tahoma" w:cs="Tahoma"/>
      <w:b/>
      <w:bCs/>
      <w:sz w:val="28"/>
      <w:szCs w:val="28"/>
      <w:lang w:val="fr-FR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fr-FR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entury Gothic" w:hAnsi="Century Gothic" w:eastAsia="Century Gothic" w:cs="Century Gothic"/>
      <w:lang w:val="fr-FR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2025-02-03T19:36:46Z</dcterms:created>
  <dcterms:modified xsi:type="dcterms:W3CDTF">2025-02-03T19:36:46Z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2025-02-03T00:00:00Z</vt:filetime>
  </property>
</Properties>
</file>