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Montserrat" w:cs="Montserrat" w:eastAsia="Montserrat" w:hAnsi="Montserrat"/>
          <w:b w:val="1"/>
          <w:color w:val="4b1ca9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b1ca9"/>
          <w:sz w:val="28"/>
          <w:szCs w:val="28"/>
          <w:rtl w:val="0"/>
        </w:rPr>
        <w:t xml:space="preserve">ACTIVITÉ 3.1 : Jeu de triage</w:t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Découpe les termes suivants puis sépare les responsabilités selon les différents ordres de  gouvernement.</w:t>
      </w:r>
    </w:p>
    <w:tbl>
      <w:tblPr>
        <w:tblStyle w:val="Table1"/>
        <w:tblW w:w="10085.0" w:type="dxa"/>
        <w:jc w:val="left"/>
        <w:tblInd w:w="-5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1"/>
        <w:gridCol w:w="3362"/>
        <w:gridCol w:w="3362"/>
        <w:tblGridChange w:id="0">
          <w:tblGrid>
            <w:gridCol w:w="3361"/>
            <w:gridCol w:w="3362"/>
            <w:gridCol w:w="3362"/>
          </w:tblGrid>
        </w:tblGridChange>
      </w:tblGrid>
      <w:tr>
        <w:trPr>
          <w:cantSplit w:val="0"/>
          <w:trHeight w:val="578.1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  <w:rtl w:val="0"/>
              </w:rPr>
              <w:t xml:space="preserve">FÉDÉRAL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  <w:rtl w:val="0"/>
              </w:rPr>
              <w:t xml:space="preserve">PROVINCIAL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mallCaps w:val="1"/>
                <w:sz w:val="20"/>
                <w:szCs w:val="20"/>
                <w:rtl w:val="0"/>
              </w:rPr>
              <w:t xml:space="preserve">MUNICIPAL</w:t>
            </w:r>
          </w:p>
        </w:tc>
      </w:tr>
      <w:tr>
        <w:trPr>
          <w:cantSplit w:val="0"/>
          <w:trHeight w:val="936.3599999999999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6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Éducation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Député.e fédéral.e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Affaires étrangères et commerce </w:t>
            </w:r>
          </w:p>
        </w:tc>
      </w:tr>
      <w:tr>
        <w:trPr>
          <w:cantSplit w:val="0"/>
          <w:trHeight w:val="743.18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Notre ville/village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Édifices du Parlement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Maire.sse</w:t>
            </w:r>
          </w:p>
        </w:tc>
      </w:tr>
      <w:tr>
        <w:trPr>
          <w:cantSplit w:val="0"/>
          <w:trHeight w:val="981.3599999999999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Premier.ère ministre du Canada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Conseiller.ère municipal.e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Défense nationale</w:t>
            </w:r>
          </w:p>
        </w:tc>
      </w:tr>
      <w:tr>
        <w:trPr>
          <w:cantSplit w:val="0"/>
          <w:trHeight w:val="1174.5399999999997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Député.e provincial.e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Halifax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Représentant.e.s  élu.e.s à l’Assemblée  législative de la  Nouvelle-Écosse</w:t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Assemblée législative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Premier.ère ministre provincial.e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Autoroutes</w:t>
            </w:r>
          </w:p>
        </w:tc>
      </w:tr>
      <w:tr>
        <w:trPr>
          <w:cantSplit w:val="0"/>
          <w:trHeight w:val="982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Président.e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6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Chambre des  communes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7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Ottawa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Gestion des déchets  et du recyclage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Parcs locaux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Hôpitaux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Transport en commun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Sydney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Hôtel de ville</w:t>
            </w:r>
          </w:p>
        </w:tc>
      </w:tr>
      <w:tr>
        <w:trPr>
          <w:cantSplit w:val="0"/>
          <w:trHeight w:val="891.3599999999999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Terres et droits  autochtones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Citoyenneté et  passeports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Gestion des déchets</w:t>
            </w:r>
          </w:p>
        </w:tc>
      </w:tr>
      <w:tr>
        <w:trPr>
          <w:cantSplit w:val="0"/>
          <w:trHeight w:val="1056.36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1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Services sociaux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Protection contre  les incendies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spacing w:after="320" w:before="320" w:line="240" w:lineRule="auto"/>
              <w:jc w:val="center"/>
              <w:rPr>
                <w:rFonts w:ascii="Montserrat" w:cs="Montserrat" w:eastAsia="Montserrat" w:hAnsi="Montserrat"/>
                <w:color w:val="231f2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31f20"/>
                <w:sz w:val="20"/>
                <w:szCs w:val="20"/>
                <w:rtl w:val="0"/>
              </w:rPr>
              <w:t xml:space="preserve">Entretien des routes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160" w:line="240" w:lineRule="auto"/>
        <w:rPr>
          <w:rFonts w:ascii="Montserrat" w:cs="Montserrat" w:eastAsia="Montserrat" w:hAnsi="Montserrat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