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Montserrat" w:cs="Montserrat" w:eastAsia="Montserrat" w:hAnsi="Montserrat"/>
          <w:color w:val="4b1ca9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b1ca9"/>
          <w:sz w:val="28"/>
          <w:szCs w:val="28"/>
          <w:rtl w:val="0"/>
        </w:rPr>
        <w:t xml:space="preserve">ACTIVITÉ 1.2 : Votre expérience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Note les facteurs qui contribuent à une expérience positive ou à une expérience négative lors du  travail en groupe.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rHeight w:val="581.3999999999999" w:hRule="atLeast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Montserrat" w:cs="Montserrat" w:eastAsia="Montserrat" w:hAnsi="Montserrat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0"/>
                <w:szCs w:val="20"/>
                <w:rtl w:val="0"/>
              </w:rPr>
              <w:t xml:space="preserve">EXPÉRIENCE POSITIVE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8">
            <w:pPr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20"/>
                <w:szCs w:val="20"/>
                <w:rtl w:val="0"/>
              </w:rPr>
              <w:t xml:space="preserve">EXPÉRIENCE NÉGATIVE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3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Montserrat" w:cs="Montserrat" w:eastAsia="Montserrat" w:hAnsi="Montserrat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